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881" w14:textId="77777777" w:rsidR="00B33838" w:rsidRDefault="00B33838" w:rsidP="006C3394">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3CA9B33" w14:textId="6E098572" w:rsidR="00B33838" w:rsidRPr="003D7F22" w:rsidRDefault="00B33838" w:rsidP="00B3383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2B493C">
        <w:rPr>
          <w:rFonts w:ascii="Times New Roman" w:hAnsi="Times New Roman" w:cs="Times New Roman"/>
          <w:i/>
          <w:iCs/>
          <w:sz w:val="36"/>
          <w:szCs w:val="36"/>
        </w:rPr>
        <w:t>C</w:t>
      </w:r>
    </w:p>
    <w:p w14:paraId="788B100A" w14:textId="2EB0C14E" w:rsidR="00D83B2B" w:rsidRPr="00D83B2B" w:rsidRDefault="00B33838" w:rsidP="00B33838">
      <w:pPr>
        <w:spacing w:line="216" w:lineRule="auto"/>
        <w:rPr>
          <w:rFonts w:cstheme="minorHAnsi"/>
        </w:rPr>
      </w:pPr>
      <w:r w:rsidRPr="00E566F7">
        <w:rPr>
          <w:rFonts w:cstheme="minorHAns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1FA0980A"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CSU</w:t>
      </w:r>
    </w:p>
    <w:p w14:paraId="6EF57359" w14:textId="77777777" w:rsidR="00B33838" w:rsidRPr="00616E38" w:rsidRDefault="00B33838" w:rsidP="00B33838">
      <w:pPr>
        <w:pStyle w:val="ListParagraph"/>
        <w:numPr>
          <w:ilvl w:val="0"/>
          <w:numId w:val="1"/>
        </w:numPr>
        <w:rPr>
          <w:rFonts w:asciiTheme="minorHAnsi" w:hAnsiTheme="minorHAnsi" w:cstheme="minorHAnsi"/>
        </w:rPr>
      </w:pPr>
      <w:r>
        <w:rPr>
          <w:rFonts w:asciiTheme="minorHAnsi" w:hAnsiTheme="minorHAnsi" w:cstheme="minorHAnsi"/>
        </w:rPr>
        <w:t>Journalism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F9A7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B493C">
        <w:rPr>
          <w:rFonts w:asciiTheme="minorHAnsi" w:hAnsiTheme="minorHAnsi" w:cstheme="minorHAnsi"/>
          <w:sz w:val="20"/>
          <w:szCs w:val="20"/>
        </w:rPr>
        <w:t>C</w:t>
      </w:r>
    </w:p>
    <w:p w14:paraId="2F2D4542" w14:textId="141F8A0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33838">
        <w:rPr>
          <w:rFonts w:asciiTheme="minorHAnsi" w:hAnsiTheme="minorHAnsi" w:cstheme="minorHAnsi"/>
          <w:sz w:val="20"/>
          <w:szCs w:val="20"/>
        </w:rPr>
        <w:t>6</w:t>
      </w:r>
      <w:r w:rsidR="002B493C">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63F09D2"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E6D1C2B">
                <wp:simplePos x="0" y="0"/>
                <wp:positionH relativeFrom="margin">
                  <wp:posOffset>118747</wp:posOffset>
                </wp:positionH>
                <wp:positionV relativeFrom="page">
                  <wp:posOffset>3008630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6.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trZh3wAAAAkBAAAPAAAAZHJzL2Rvd25yZXYu&#10;eG1sTI9BTsMwEEX3SNzBGiQ2VeuUAG1DnAoFAWIDauAATjzEgXgcxW4bOD3DCpZf8/XnvXw7uV4c&#10;cAydJwXLRQICqfGmo1bB2+v9fA0iRE1G955QwRcG2BanJ7nOjD/SDg9VbAWPUMi0AhvjkEkZGotO&#10;h4UfkPj27kenI8exlWbURx53vbxIkmvpdEf8weoBS4vNZ7V3CgYb7Mvsu38uZw9PZSi7u8eq/lDq&#10;/Gy6vQERcYp/ZfjFZ3QomKn2ezJB9JzXK24quFylrMCFzZLdagVXaboBWeTyv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62tmH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D239BB">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3DA171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ENGL-101</w:t>
            </w:r>
          </w:p>
        </w:tc>
        <w:tc>
          <w:tcPr>
            <w:tcW w:w="5870" w:type="dxa"/>
          </w:tcPr>
          <w:p w14:paraId="635529C6" w14:textId="4C96803C"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College Composition (formerly Freshman Composition)</w:t>
            </w:r>
          </w:p>
        </w:tc>
        <w:tc>
          <w:tcPr>
            <w:tcW w:w="1313" w:type="dxa"/>
          </w:tcPr>
          <w:p w14:paraId="55306BD1" w14:textId="6E319AC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4</w:t>
            </w:r>
          </w:p>
        </w:tc>
      </w:tr>
      <w:tr w:rsidR="002B493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822C7A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HIST-112</w:t>
            </w:r>
          </w:p>
        </w:tc>
        <w:tc>
          <w:tcPr>
            <w:tcW w:w="5870" w:type="dxa"/>
          </w:tcPr>
          <w:p w14:paraId="37BC83B3" w14:textId="5C908CF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U.S. History Since 1865</w:t>
            </w:r>
          </w:p>
        </w:tc>
        <w:tc>
          <w:tcPr>
            <w:tcW w:w="1313" w:type="dxa"/>
          </w:tcPr>
          <w:p w14:paraId="56152D89" w14:textId="320379A6"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B4CE8D1"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COMM-110</w:t>
            </w:r>
          </w:p>
        </w:tc>
        <w:tc>
          <w:tcPr>
            <w:tcW w:w="5870" w:type="dxa"/>
          </w:tcPr>
          <w:p w14:paraId="798454FA" w14:textId="646AB89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Communications Media Survey</w:t>
            </w:r>
          </w:p>
        </w:tc>
        <w:tc>
          <w:tcPr>
            <w:tcW w:w="1313" w:type="dxa"/>
          </w:tcPr>
          <w:p w14:paraId="64BCEF68" w14:textId="2B7D5B21"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A91D200"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bdr w:val="none" w:sz="0" w:space="0" w:color="auto" w:frame="1"/>
              </w:rPr>
              <w:t>MATH-140 or</w:t>
            </w:r>
          </w:p>
          <w:p w14:paraId="20B8434A" w14:textId="37321934"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PSYC-121</w:t>
            </w:r>
          </w:p>
        </w:tc>
        <w:tc>
          <w:tcPr>
            <w:tcW w:w="5870" w:type="dxa"/>
          </w:tcPr>
          <w:p w14:paraId="79752781" w14:textId="77777777" w:rsidR="002B493C" w:rsidRPr="002B493C" w:rsidRDefault="002B493C" w:rsidP="002B493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2B493C">
              <w:rPr>
                <w:rFonts w:cs="Calibri"/>
                <w:color w:val="000000"/>
                <w:sz w:val="22"/>
                <w:szCs w:val="24"/>
              </w:rPr>
              <w:t>Introduction to Statistics or</w:t>
            </w:r>
          </w:p>
          <w:p w14:paraId="57FA4267" w14:textId="1E796671"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Statistics for Behavioral Sciences</w:t>
            </w:r>
          </w:p>
        </w:tc>
        <w:tc>
          <w:tcPr>
            <w:tcW w:w="1313" w:type="dxa"/>
          </w:tcPr>
          <w:p w14:paraId="36D23F10" w14:textId="0667107D"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F194B96"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ANTH-145</w:t>
            </w:r>
          </w:p>
        </w:tc>
        <w:tc>
          <w:tcPr>
            <w:tcW w:w="5870" w:type="dxa"/>
          </w:tcPr>
          <w:p w14:paraId="411DA8EB" w14:textId="4D40E7FD"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Introduction to Linguistic Anthropology </w:t>
            </w:r>
          </w:p>
        </w:tc>
        <w:tc>
          <w:tcPr>
            <w:tcW w:w="1313" w:type="dxa"/>
          </w:tcPr>
          <w:p w14:paraId="29E60E6C" w14:textId="7060552E"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0C0802D9" w14:textId="6769431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0039967"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bdr w:val="none" w:sz="0" w:space="0" w:color="auto" w:frame="1"/>
              </w:rPr>
              <w:t>ENGL-103</w:t>
            </w:r>
          </w:p>
        </w:tc>
        <w:tc>
          <w:tcPr>
            <w:tcW w:w="5870" w:type="dxa"/>
          </w:tcPr>
          <w:p w14:paraId="03571DB6" w14:textId="5A17EED8"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Theme="minorHAnsi" w:hAnsiTheme="minorHAnsi" w:cstheme="minorHAnsi"/>
                <w:color w:val="000000"/>
                <w:sz w:val="22"/>
                <w:szCs w:val="24"/>
              </w:rPr>
              <w:t>Critical Thinking and Writing</w:t>
            </w:r>
          </w:p>
        </w:tc>
        <w:tc>
          <w:tcPr>
            <w:tcW w:w="1313" w:type="dxa"/>
          </w:tcPr>
          <w:p w14:paraId="401B7A34" w14:textId="2C5E26F7"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Theme="minorHAnsi" w:hAnsiTheme="minorHAnsi" w:cstheme="minorHAnsi"/>
                <w:color w:val="000000"/>
                <w:sz w:val="22"/>
                <w:szCs w:val="24"/>
              </w:rPr>
              <w:t>3</w:t>
            </w:r>
          </w:p>
        </w:tc>
      </w:tr>
      <w:tr w:rsidR="002B493C"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26A0FD9"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COMM-100</w:t>
            </w:r>
          </w:p>
        </w:tc>
        <w:tc>
          <w:tcPr>
            <w:tcW w:w="5870" w:type="dxa"/>
          </w:tcPr>
          <w:p w14:paraId="00F9BB57" w14:textId="2448A636"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Speaking</w:t>
            </w:r>
          </w:p>
        </w:tc>
        <w:tc>
          <w:tcPr>
            <w:tcW w:w="1313" w:type="dxa"/>
          </w:tcPr>
          <w:p w14:paraId="0794A019" w14:textId="01781DF9"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68EB4D"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COMM-119</w:t>
            </w:r>
          </w:p>
        </w:tc>
        <w:tc>
          <w:tcPr>
            <w:tcW w:w="5870" w:type="dxa"/>
          </w:tcPr>
          <w:p w14:paraId="21C771E7" w14:textId="452C3C2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Public Relations</w:t>
            </w:r>
          </w:p>
        </w:tc>
        <w:tc>
          <w:tcPr>
            <w:tcW w:w="1313" w:type="dxa"/>
          </w:tcPr>
          <w:p w14:paraId="7B69753E" w14:textId="6DF2A1F4"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B9E2132"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THA-137</w:t>
            </w:r>
          </w:p>
        </w:tc>
        <w:tc>
          <w:tcPr>
            <w:tcW w:w="5870" w:type="dxa"/>
          </w:tcPr>
          <w:p w14:paraId="115C0398" w14:textId="55F41748"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World Cinema</w:t>
            </w:r>
          </w:p>
        </w:tc>
        <w:tc>
          <w:tcPr>
            <w:tcW w:w="1313" w:type="dxa"/>
          </w:tcPr>
          <w:p w14:paraId="12028B2E" w14:textId="4F54718B"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r w:rsidR="002B493C"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4039982"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bdr w:val="none" w:sz="0" w:space="0" w:color="auto" w:frame="1"/>
              </w:rPr>
              <w:t>PS-101</w:t>
            </w:r>
          </w:p>
        </w:tc>
        <w:tc>
          <w:tcPr>
            <w:tcW w:w="5870" w:type="dxa"/>
          </w:tcPr>
          <w:p w14:paraId="5BA2ADEA" w14:textId="1D8CA24A"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Introduction to American Government and Politics</w:t>
            </w:r>
          </w:p>
        </w:tc>
        <w:tc>
          <w:tcPr>
            <w:tcW w:w="1313" w:type="dxa"/>
          </w:tcPr>
          <w:p w14:paraId="0AF6D1F0" w14:textId="64B0F630"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44D6C2C3"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Program Directors (SM, A, B)</w:t>
      </w:r>
    </w:p>
    <w:p w14:paraId="7DFA8149" w14:textId="77777777" w:rsidR="00B33838" w:rsidRPr="00B33838" w:rsidRDefault="00B33838" w:rsidP="00B33838">
      <w:pPr>
        <w:spacing w:after="0" w:line="240" w:lineRule="auto"/>
        <w:ind w:left="360"/>
        <w:rPr>
          <w:rFonts w:cstheme="minorHAnsi"/>
          <w:sz w:val="20"/>
          <w:szCs w:val="20"/>
        </w:rPr>
      </w:pPr>
      <w:r w:rsidRPr="00B33838">
        <w:rPr>
          <w:rFonts w:cstheme="minorHAnsi"/>
          <w:sz w:val="20"/>
          <w:szCs w:val="20"/>
        </w:rPr>
        <w:t>Broadcast News Analysts (SM, B)</w:t>
      </w:r>
    </w:p>
    <w:p w14:paraId="301A0BEC" w14:textId="77777777" w:rsidR="00B33838" w:rsidRDefault="00B33838" w:rsidP="00B33838">
      <w:pPr>
        <w:spacing w:after="0" w:line="240" w:lineRule="auto"/>
        <w:ind w:left="360"/>
        <w:rPr>
          <w:rFonts w:cstheme="minorHAnsi"/>
          <w:sz w:val="20"/>
          <w:szCs w:val="20"/>
        </w:rPr>
      </w:pPr>
      <w:r w:rsidRPr="00B33838">
        <w:rPr>
          <w:rFonts w:cstheme="minorHAnsi"/>
          <w:sz w:val="20"/>
          <w:szCs w:val="20"/>
        </w:rPr>
        <w:t>Reporters and Correspondents (B, M)</w:t>
      </w:r>
    </w:p>
    <w:p w14:paraId="24DA84FC" w14:textId="1B6C9843" w:rsidR="00605018" w:rsidRDefault="0067051E" w:rsidP="00B3383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B33838" w:rsidRDefault="0067051E" w:rsidP="00605018">
      <w:pPr>
        <w:spacing w:after="0" w:line="240" w:lineRule="auto"/>
        <w:ind w:left="360"/>
        <w:rPr>
          <w:sz w:val="18"/>
          <w:szCs w:val="18"/>
        </w:rPr>
      </w:pPr>
      <w:r w:rsidRPr="00B33838">
        <w:rPr>
          <w:sz w:val="18"/>
          <w:szCs w:val="18"/>
        </w:rPr>
        <w:t xml:space="preserve">Required Education: SM: some college; C: Certificate; A: Associate, B: Bachelor’s, M: Master’s; D: </w:t>
      </w:r>
      <w:r w:rsidR="00521B03" w:rsidRPr="00B33838">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CDADF54" w:rsidR="00F76131" w:rsidRPr="009D61FA" w:rsidRDefault="00AC4A21" w:rsidP="00CE174A">
      <w:pPr>
        <w:spacing w:after="0"/>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2B493C">
        <w:rPr>
          <w:b/>
          <w:bCs/>
          <w:i/>
          <w:iCs/>
          <w:sz w:val="24"/>
          <w:szCs w:val="24"/>
        </w:rPr>
        <w:t>3</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CE1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B493C" w:rsidRPr="00196E3C" w14:paraId="7EF67193"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2C47BBA"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ART-100</w:t>
            </w:r>
          </w:p>
        </w:tc>
        <w:tc>
          <w:tcPr>
            <w:tcW w:w="5870" w:type="dxa"/>
          </w:tcPr>
          <w:p w14:paraId="57F7AEC4" w14:textId="7AACAE30"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Art Appreciation</w:t>
            </w:r>
          </w:p>
        </w:tc>
        <w:tc>
          <w:tcPr>
            <w:tcW w:w="1313" w:type="dxa"/>
          </w:tcPr>
          <w:p w14:paraId="53F87D94" w14:textId="0F44E1EB"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770BBE7C"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D3E301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COMM-104</w:t>
            </w:r>
          </w:p>
        </w:tc>
        <w:tc>
          <w:tcPr>
            <w:tcW w:w="5870" w:type="dxa"/>
          </w:tcPr>
          <w:p w14:paraId="179A7923" w14:textId="6384A3ED"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 xml:space="preserve">Argumentation and Debate </w:t>
            </w:r>
          </w:p>
        </w:tc>
        <w:tc>
          <w:tcPr>
            <w:tcW w:w="1313" w:type="dxa"/>
          </w:tcPr>
          <w:p w14:paraId="1C25F3EE" w14:textId="56142C78"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1EE7567E" w14:textId="77777777" w:rsidTr="00CE17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B1874C4"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ANTH-101</w:t>
            </w:r>
          </w:p>
        </w:tc>
        <w:tc>
          <w:tcPr>
            <w:tcW w:w="5870" w:type="dxa"/>
          </w:tcPr>
          <w:p w14:paraId="58BCA94D" w14:textId="5F22301D"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w:t>
            </w:r>
          </w:p>
        </w:tc>
        <w:tc>
          <w:tcPr>
            <w:tcW w:w="1313" w:type="dxa"/>
          </w:tcPr>
          <w:p w14:paraId="58B7D15A" w14:textId="3E6CBEC5"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0C3C362B" w14:textId="77777777" w:rsidTr="00CE17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5095A036"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ANTH-111</w:t>
            </w:r>
          </w:p>
        </w:tc>
        <w:tc>
          <w:tcPr>
            <w:tcW w:w="5870" w:type="dxa"/>
          </w:tcPr>
          <w:p w14:paraId="75CAD893" w14:textId="2C9E6A35"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Physical Anthropology Lab</w:t>
            </w:r>
          </w:p>
        </w:tc>
        <w:tc>
          <w:tcPr>
            <w:tcW w:w="1313" w:type="dxa"/>
          </w:tcPr>
          <w:p w14:paraId="01E368E8" w14:textId="19F6284F"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1</w:t>
            </w:r>
          </w:p>
        </w:tc>
      </w:tr>
      <w:tr w:rsidR="002B493C" w14:paraId="2BFD0FE1" w14:textId="77777777" w:rsidTr="00CE17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DAE955E"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JOUR-110</w:t>
            </w:r>
          </w:p>
        </w:tc>
        <w:tc>
          <w:tcPr>
            <w:tcW w:w="5870" w:type="dxa"/>
          </w:tcPr>
          <w:p w14:paraId="275A0CDF" w14:textId="3B7C05C7"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Reporting and Newswriting</w:t>
            </w:r>
          </w:p>
        </w:tc>
        <w:tc>
          <w:tcPr>
            <w:tcW w:w="1313" w:type="dxa"/>
          </w:tcPr>
          <w:p w14:paraId="44AC95D6" w14:textId="500E3D4C"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bl>
    <w:p w14:paraId="7212A20C" w14:textId="16E5C7CB" w:rsidR="00F76131" w:rsidRPr="009D61FA" w:rsidRDefault="00F76131" w:rsidP="003118A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B493C">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B493C"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347BFEE"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bdr w:val="none" w:sz="0" w:space="0" w:color="auto" w:frame="1"/>
              </w:rPr>
              <w:t>JOUR-130</w:t>
            </w:r>
          </w:p>
        </w:tc>
        <w:tc>
          <w:tcPr>
            <w:tcW w:w="5870" w:type="dxa"/>
          </w:tcPr>
          <w:p w14:paraId="52AA2F38" w14:textId="6AE1EF91"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B493C">
              <w:rPr>
                <w:rFonts w:ascii="Calibri" w:hAnsi="Calibri" w:cs="Calibri"/>
                <w:color w:val="000000"/>
                <w:sz w:val="22"/>
                <w:szCs w:val="24"/>
              </w:rPr>
              <w:t>Journalism Practicum</w:t>
            </w:r>
          </w:p>
        </w:tc>
        <w:tc>
          <w:tcPr>
            <w:tcW w:w="1313" w:type="dxa"/>
          </w:tcPr>
          <w:p w14:paraId="65E25DD8" w14:textId="24CD4A1D"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B493C">
              <w:rPr>
                <w:rFonts w:ascii="Calibri" w:hAnsi="Calibri" w:cs="Calibri"/>
                <w:color w:val="000000"/>
                <w:sz w:val="22"/>
                <w:szCs w:val="24"/>
              </w:rPr>
              <w:t>3</w:t>
            </w:r>
          </w:p>
        </w:tc>
      </w:tr>
      <w:tr w:rsidR="002B493C"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B493C" w:rsidRPr="008E1CE1" w:rsidRDefault="002B493C" w:rsidP="002B493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8697A9E"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COMM-108</w:t>
            </w:r>
          </w:p>
        </w:tc>
        <w:tc>
          <w:tcPr>
            <w:tcW w:w="5870" w:type="dxa"/>
          </w:tcPr>
          <w:p w14:paraId="6250AC6D" w14:textId="019E5DFA"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Intercultural Communication</w:t>
            </w:r>
          </w:p>
        </w:tc>
        <w:tc>
          <w:tcPr>
            <w:tcW w:w="1313" w:type="dxa"/>
          </w:tcPr>
          <w:p w14:paraId="4BF3CCB4" w14:textId="00EC838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B493C" w:rsidRPr="008E1CE1" w:rsidRDefault="002B493C" w:rsidP="002B493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E940CE0" w:rsidR="002B493C" w:rsidRPr="002B493C" w:rsidRDefault="002B493C" w:rsidP="002B49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ENVS-100</w:t>
            </w:r>
          </w:p>
        </w:tc>
        <w:tc>
          <w:tcPr>
            <w:tcW w:w="5870" w:type="dxa"/>
          </w:tcPr>
          <w:p w14:paraId="5132DCF8" w14:textId="7828B306" w:rsidR="002B493C" w:rsidRPr="002B493C" w:rsidRDefault="002B493C" w:rsidP="002B49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Humans and Scientific Inquiry</w:t>
            </w:r>
          </w:p>
        </w:tc>
        <w:tc>
          <w:tcPr>
            <w:tcW w:w="1313" w:type="dxa"/>
          </w:tcPr>
          <w:p w14:paraId="2753F63B" w14:textId="6EDDCC23" w:rsidR="002B493C" w:rsidRPr="002B493C" w:rsidRDefault="002B493C" w:rsidP="002B49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2B493C" w:rsidRPr="008E1CE1" w:rsidRDefault="002B493C" w:rsidP="002B49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62A56AB" w:rsidR="002B493C" w:rsidRPr="002B493C" w:rsidRDefault="002B493C" w:rsidP="002B49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PSYC-101</w:t>
            </w:r>
          </w:p>
        </w:tc>
        <w:tc>
          <w:tcPr>
            <w:tcW w:w="5870" w:type="dxa"/>
          </w:tcPr>
          <w:p w14:paraId="0B8B04D1" w14:textId="0E846512" w:rsidR="002B493C" w:rsidRPr="002B493C" w:rsidRDefault="002B493C" w:rsidP="002B4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Introduction to Psychology</w:t>
            </w:r>
          </w:p>
        </w:tc>
        <w:tc>
          <w:tcPr>
            <w:tcW w:w="1313" w:type="dxa"/>
          </w:tcPr>
          <w:p w14:paraId="6F448D68" w14:textId="3AD48907" w:rsidR="002B493C" w:rsidRPr="002B493C" w:rsidRDefault="002B493C" w:rsidP="002B49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3</w:t>
            </w:r>
          </w:p>
        </w:tc>
      </w:tr>
      <w:tr w:rsidR="002B493C"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2B493C" w:rsidRPr="008E1CE1" w:rsidRDefault="002B493C" w:rsidP="002B493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F454C4D"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bdr w:val="none" w:sz="0" w:space="0" w:color="auto" w:frame="1"/>
              </w:rPr>
            </w:pPr>
            <w:r w:rsidRPr="002B493C">
              <w:rPr>
                <w:rFonts w:cs="Calibri"/>
                <w:color w:val="000000"/>
                <w:sz w:val="22"/>
                <w:szCs w:val="24"/>
                <w:bdr w:val="none" w:sz="0" w:space="0" w:color="auto" w:frame="1"/>
              </w:rPr>
              <w:t>SPAN-101 or</w:t>
            </w:r>
          </w:p>
          <w:p w14:paraId="308CFEFD" w14:textId="77777777"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B493C">
              <w:rPr>
                <w:rFonts w:ascii="Calibri" w:hAnsi="Calibri" w:cs="Calibri"/>
                <w:color w:val="000000"/>
                <w:sz w:val="22"/>
                <w:szCs w:val="24"/>
                <w:bdr w:val="none" w:sz="0" w:space="0" w:color="auto" w:frame="1"/>
              </w:rPr>
              <w:t>FREN-101 or</w:t>
            </w:r>
          </w:p>
          <w:p w14:paraId="55DB989F" w14:textId="2C1F01A9" w:rsidR="002B493C" w:rsidRPr="002B493C" w:rsidRDefault="002B493C" w:rsidP="002B49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bdr w:val="none" w:sz="0" w:space="0" w:color="auto" w:frame="1"/>
              </w:rPr>
              <w:t>ASL-100</w:t>
            </w:r>
          </w:p>
        </w:tc>
        <w:tc>
          <w:tcPr>
            <w:tcW w:w="5870" w:type="dxa"/>
          </w:tcPr>
          <w:p w14:paraId="64F1486E" w14:textId="77777777" w:rsidR="002B493C" w:rsidRPr="002B493C" w:rsidRDefault="002B493C" w:rsidP="002B493C">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B493C">
              <w:rPr>
                <w:rFonts w:cs="Calibri"/>
                <w:color w:val="000000"/>
                <w:sz w:val="22"/>
                <w:szCs w:val="24"/>
              </w:rPr>
              <w:t>Elementary Spanish I or</w:t>
            </w:r>
          </w:p>
          <w:p w14:paraId="17749674" w14:textId="77777777" w:rsidR="002B493C" w:rsidRPr="002B493C" w:rsidRDefault="002B493C" w:rsidP="002B493C">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B493C">
              <w:rPr>
                <w:rFonts w:ascii="Calibri" w:hAnsi="Calibri" w:cs="Calibri"/>
                <w:color w:val="000000"/>
                <w:sz w:val="22"/>
                <w:szCs w:val="24"/>
              </w:rPr>
              <w:t>Elementary French I or</w:t>
            </w:r>
          </w:p>
          <w:p w14:paraId="647AE633" w14:textId="6EBCA898" w:rsidR="002B493C" w:rsidRPr="002B493C" w:rsidRDefault="002B493C" w:rsidP="002B493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American Sign Language I</w:t>
            </w:r>
          </w:p>
        </w:tc>
        <w:tc>
          <w:tcPr>
            <w:tcW w:w="1313" w:type="dxa"/>
          </w:tcPr>
          <w:p w14:paraId="59DE1595" w14:textId="56C5EB77" w:rsidR="002B493C" w:rsidRPr="002B493C" w:rsidRDefault="002B493C" w:rsidP="002B493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B493C">
              <w:rPr>
                <w:rFonts w:ascii="Calibri" w:hAnsi="Calibri" w:cs="Calibri"/>
                <w:color w:val="000000"/>
                <w:sz w:val="22"/>
                <w:szCs w:val="24"/>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B37A91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515EA594" w:rsidR="00157999" w:rsidRDefault="00F76AA4" w:rsidP="003118A8">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9927E08" w14:textId="77777777" w:rsidR="00CE174A" w:rsidRDefault="00CE174A" w:rsidP="00CE174A">
      <w:pPr>
        <w:pStyle w:val="NOTES"/>
        <w:sectPr w:rsidR="00CE174A" w:rsidSect="00FE5239">
          <w:headerReference w:type="first" r:id="rId25"/>
          <w:type w:val="continuous"/>
          <w:pgSz w:w="12240" w:h="15840" w:code="1"/>
          <w:pgMar w:top="360" w:right="360" w:bottom="720" w:left="360" w:header="360" w:footer="144" w:gutter="0"/>
          <w:cols w:space="720"/>
          <w:docGrid w:linePitch="360"/>
        </w:sectPr>
      </w:pPr>
    </w:p>
    <w:p w14:paraId="58EBD37F" w14:textId="09255DF7" w:rsidR="00CE174A" w:rsidRDefault="00CE174A" w:rsidP="00CE174A">
      <w:pPr>
        <w:pStyle w:val="NOTES"/>
      </w:pPr>
      <w:r>
        <w:t>The Talon</w:t>
      </w:r>
    </w:p>
    <w:p w14:paraId="70B60490" w14:textId="77777777" w:rsidR="00CE174A" w:rsidRDefault="00CE174A" w:rsidP="003118A8">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14:paraId="6A1D8EBE" w14:textId="677E3B4E" w:rsidR="00CE174A" w:rsidRPr="00CE174A" w:rsidRDefault="00CE174A" w:rsidP="003118A8">
      <w:pPr>
        <w:spacing w:line="240" w:lineRule="auto"/>
        <w:rPr>
          <w:rFonts w:cstheme="minorHAnsi"/>
          <w:sz w:val="20"/>
          <w:szCs w:val="20"/>
        </w:rPr>
      </w:pPr>
      <w:r w:rsidRPr="00CE174A">
        <w:rPr>
          <w:rFonts w:cstheme="minorHAnsi"/>
          <w:sz w:val="20"/>
          <w:szCs w:val="20"/>
        </w:rPr>
        <w:t>The Talon is a platform for Mt. San Jacinto College students and the community to promote a diverse student voice, involvement from the college, and creative collaborations to:</w:t>
      </w:r>
    </w:p>
    <w:p w14:paraId="0AFA068A" w14:textId="77777777" w:rsidR="00CE174A" w:rsidRPr="00CE174A" w:rsidRDefault="00CE174A" w:rsidP="003118A8">
      <w:pPr>
        <w:numPr>
          <w:ilvl w:val="0"/>
          <w:numId w:val="5"/>
        </w:numPr>
        <w:spacing w:after="0" w:line="240" w:lineRule="auto"/>
        <w:rPr>
          <w:rFonts w:cstheme="minorHAnsi"/>
          <w:color w:val="000000"/>
          <w:sz w:val="20"/>
          <w:szCs w:val="20"/>
        </w:rPr>
      </w:pPr>
      <w:r w:rsidRPr="00CE174A">
        <w:rPr>
          <w:rFonts w:cstheme="minorHAnsi"/>
          <w:color w:val="000000"/>
          <w:sz w:val="20"/>
          <w:szCs w:val="20"/>
          <w:bdr w:val="none" w:sz="0" w:space="0" w:color="auto" w:frame="1"/>
        </w:rPr>
        <w:t>Report on important issues concerning MSJC, and the students that attend the institution to better connect the student with the institution</w:t>
      </w:r>
    </w:p>
    <w:p w14:paraId="34D984B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Promote awareness of activities that occur on campus and throughout the community MSJC serves</w:t>
      </w:r>
    </w:p>
    <w:p w14:paraId="17C65819"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Inform MSJC students of events and information critical to success in higher education </w:t>
      </w:r>
    </w:p>
    <w:p w14:paraId="2F2E8037"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Create a venue for the student voice which fairly represents the diversity of students that attend MSJC in an ethical manner</w:t>
      </w:r>
    </w:p>
    <w:p w14:paraId="25F97C3F"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academic freedom for legitimate intellectual viewpoints in academia and the culture as a whole</w:t>
      </w:r>
    </w:p>
    <w:p w14:paraId="6F20548D" w14:textId="77777777" w:rsidR="00CE174A" w:rsidRPr="00CE174A" w:rsidRDefault="00CE174A" w:rsidP="003118A8">
      <w:pPr>
        <w:numPr>
          <w:ilvl w:val="0"/>
          <w:numId w:val="5"/>
        </w:numPr>
        <w:spacing w:before="100" w:beforeAutospacing="1" w:after="100" w:afterAutospacing="1" w:line="240" w:lineRule="auto"/>
        <w:rPr>
          <w:rFonts w:cstheme="minorHAnsi"/>
          <w:color w:val="000000"/>
          <w:sz w:val="20"/>
          <w:szCs w:val="20"/>
        </w:rPr>
      </w:pPr>
      <w:r w:rsidRPr="00CE174A">
        <w:rPr>
          <w:rFonts w:cstheme="minorHAnsi"/>
          <w:color w:val="000000"/>
          <w:sz w:val="20"/>
          <w:szCs w:val="20"/>
        </w:rPr>
        <w:t>Support MSJC students with communication/journalism/English/multimedia focused workshops, lectures, competitions, and scholarships</w:t>
      </w:r>
    </w:p>
    <w:p w14:paraId="465892FE" w14:textId="21FFA589" w:rsidR="00CE174A" w:rsidRPr="00CE174A" w:rsidRDefault="00CE174A" w:rsidP="003118A8">
      <w:pPr>
        <w:numPr>
          <w:ilvl w:val="0"/>
          <w:numId w:val="5"/>
        </w:numPr>
        <w:spacing w:before="100" w:beforeAutospacing="1" w:after="120" w:line="240" w:lineRule="auto"/>
        <w:rPr>
          <w:rFonts w:cstheme="minorHAnsi"/>
          <w:color w:val="000000"/>
          <w:sz w:val="20"/>
          <w:szCs w:val="20"/>
        </w:rPr>
      </w:pPr>
      <w:r w:rsidRPr="00CE174A">
        <w:rPr>
          <w:rFonts w:cstheme="minorHAnsi"/>
          <w:color w:val="000000"/>
          <w:sz w:val="20"/>
          <w:szCs w:val="20"/>
        </w:rPr>
        <w:t>Create a forum where students can network with others with similar interests, gain experience in writing and community involvement, and understand the education system</w:t>
      </w:r>
      <w:r>
        <w:rPr>
          <w:rFonts w:cstheme="minorHAnsi"/>
          <w:color w:val="000000"/>
          <w:sz w:val="20"/>
          <w:szCs w:val="20"/>
        </w:rPr>
        <w:t>.</w:t>
      </w:r>
    </w:p>
    <w:p w14:paraId="370310E2" w14:textId="22B0E6E2" w:rsidR="00CE174A" w:rsidRDefault="00CE174A" w:rsidP="003118A8">
      <w:pPr>
        <w:pStyle w:val="NormalWeb"/>
        <w:spacing w:before="0" w:beforeAutospacing="0" w:after="0" w:afterAutospacing="0"/>
        <w:rPr>
          <w:rStyle w:val="Hyperlink"/>
          <w:rFonts w:asciiTheme="minorHAnsi" w:hAnsiTheme="minorHAnsi" w:cstheme="minorHAnsi"/>
          <w:sz w:val="20"/>
          <w:szCs w:val="20"/>
          <w:bdr w:val="none" w:sz="0" w:space="0" w:color="auto" w:frame="1"/>
        </w:rPr>
      </w:pPr>
      <w:r w:rsidRPr="00CE174A">
        <w:rPr>
          <w:rFonts w:asciiTheme="minorHAnsi" w:hAnsiTheme="minorHAnsi" w:cstheme="minorHAnsi"/>
          <w:color w:val="000000"/>
          <w:sz w:val="20"/>
          <w:szCs w:val="20"/>
        </w:rPr>
        <w:t xml:space="preserve">Visit our </w:t>
      </w:r>
      <w:hyperlink r:id="rId26" w:history="1">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14:paraId="3DFE2A45" w14:textId="37059826" w:rsidR="00CE174A" w:rsidRPr="00CE174A" w:rsidRDefault="00CE174A" w:rsidP="00CE174A">
      <w:pPr>
        <w:pStyle w:val="NormalWeb"/>
        <w:spacing w:before="360" w:beforeAutospacing="0" w:after="0" w:afterAutospacing="0"/>
        <w:jc w:val="center"/>
        <w:rPr>
          <w:rStyle w:val="Hyperlink"/>
          <w:color w:val="auto"/>
          <w:u w:val="none"/>
        </w:rPr>
      </w:pPr>
      <w:r>
        <w:rPr>
          <w:rFonts w:cstheme="minorHAnsi"/>
          <w:noProof/>
          <w:color w:val="231F20"/>
          <w:w w:val="105"/>
        </w:rPr>
        <w:drawing>
          <wp:inline distT="0" distB="0" distL="0" distR="0" wp14:anchorId="6CAAB854" wp14:editId="64AF7A52">
            <wp:extent cx="2537460" cy="2537460"/>
            <wp:effectExtent l="0" t="0" r="0" b="0"/>
            <wp:docPr id="6" name="Picture 6" descr="The Tal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Talon logo&#10;"/>
                    <pic:cNvPicPr/>
                  </pic:nvPicPr>
                  <pic:blipFill>
                    <a:blip r:embed="rId27">
                      <a:extLst>
                        <a:ext uri="{28A0092B-C50C-407E-A947-70E740481C1C}">
                          <a14:useLocalDpi xmlns:a14="http://schemas.microsoft.com/office/drawing/2010/main" val="0"/>
                        </a:ext>
                      </a:extLst>
                    </a:blip>
                    <a:stretch>
                      <a:fillRect/>
                    </a:stretch>
                  </pic:blipFill>
                  <pic:spPr>
                    <a:xfrm>
                      <a:off x="0" y="0"/>
                      <a:ext cx="2537483" cy="2537483"/>
                    </a:xfrm>
                    <a:prstGeom prst="rect">
                      <a:avLst/>
                    </a:prstGeom>
                  </pic:spPr>
                </pic:pic>
              </a:graphicData>
            </a:graphic>
          </wp:inline>
        </w:drawing>
      </w:r>
    </w:p>
    <w:sectPr w:rsidR="00CE174A" w:rsidRPr="00CE174A" w:rsidSect="00CE174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E8A6" w14:textId="77777777" w:rsidR="00350DBF" w:rsidRDefault="00350DBF" w:rsidP="00DF2F19">
      <w:pPr>
        <w:spacing w:after="0" w:line="240" w:lineRule="auto"/>
      </w:pPr>
      <w:r>
        <w:separator/>
      </w:r>
    </w:p>
  </w:endnote>
  <w:endnote w:type="continuationSeparator" w:id="0">
    <w:p w14:paraId="022D3A5A" w14:textId="77777777" w:rsidR="00350DBF" w:rsidRDefault="00350DBF" w:rsidP="00DF2F19">
      <w:pPr>
        <w:spacing w:after="0" w:line="240" w:lineRule="auto"/>
      </w:pPr>
      <w:r>
        <w:continuationSeparator/>
      </w:r>
    </w:p>
  </w:endnote>
  <w:endnote w:type="continuationNotice" w:id="1">
    <w:p w14:paraId="342B5942" w14:textId="77777777" w:rsidR="00350DBF" w:rsidRDefault="00350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516D" w14:textId="77777777" w:rsidR="00270E01" w:rsidRDefault="0027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4D17" w14:textId="77777777" w:rsidR="00350DBF" w:rsidRDefault="00350DBF" w:rsidP="00DF2F19">
      <w:pPr>
        <w:spacing w:after="0" w:line="240" w:lineRule="auto"/>
      </w:pPr>
      <w:r>
        <w:separator/>
      </w:r>
    </w:p>
  </w:footnote>
  <w:footnote w:type="continuationSeparator" w:id="0">
    <w:p w14:paraId="261D63E3" w14:textId="77777777" w:rsidR="00350DBF" w:rsidRDefault="00350DBF" w:rsidP="00DF2F19">
      <w:pPr>
        <w:spacing w:after="0" w:line="240" w:lineRule="auto"/>
      </w:pPr>
      <w:r>
        <w:continuationSeparator/>
      </w:r>
    </w:p>
  </w:footnote>
  <w:footnote w:type="continuationNotice" w:id="1">
    <w:p w14:paraId="670FBEA0" w14:textId="77777777" w:rsidR="00350DBF" w:rsidRDefault="00350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7259" w14:textId="77777777" w:rsidR="00270E01" w:rsidRDefault="0027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2296" w14:textId="77777777" w:rsidR="00270E01" w:rsidRDefault="0027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BC8152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70E01">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212D3"/>
    <w:rsid w:val="00127DF6"/>
    <w:rsid w:val="00144B9F"/>
    <w:rsid w:val="00157999"/>
    <w:rsid w:val="0017252B"/>
    <w:rsid w:val="0019475E"/>
    <w:rsid w:val="00197394"/>
    <w:rsid w:val="001B29AE"/>
    <w:rsid w:val="001F1487"/>
    <w:rsid w:val="002064A9"/>
    <w:rsid w:val="00222820"/>
    <w:rsid w:val="00222F6A"/>
    <w:rsid w:val="00231B7E"/>
    <w:rsid w:val="002323FC"/>
    <w:rsid w:val="00247605"/>
    <w:rsid w:val="00270E01"/>
    <w:rsid w:val="00275B1E"/>
    <w:rsid w:val="00281303"/>
    <w:rsid w:val="00281869"/>
    <w:rsid w:val="00290E06"/>
    <w:rsid w:val="002972B2"/>
    <w:rsid w:val="002B493C"/>
    <w:rsid w:val="002D63B6"/>
    <w:rsid w:val="002D7B78"/>
    <w:rsid w:val="002E71E3"/>
    <w:rsid w:val="002F51F8"/>
    <w:rsid w:val="00307264"/>
    <w:rsid w:val="003118A8"/>
    <w:rsid w:val="0031534F"/>
    <w:rsid w:val="00323BAA"/>
    <w:rsid w:val="00330A18"/>
    <w:rsid w:val="0034427C"/>
    <w:rsid w:val="00350DBF"/>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17CA"/>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239BB"/>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A5E93"/>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E174A"/>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CE174A"/>
    <w:rPr>
      <w:rFonts w:ascii="Calibri" w:eastAsiaTheme="majorEastAsia" w:hAnsi="Calibri"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msjc.edu/thetal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3830</Characters>
  <Application>Microsoft Office Word</Application>
  <DocSecurity>0</DocSecurity>
  <Lines>201</Lines>
  <Paragraphs>180</Paragraphs>
  <ScaleCrop>false</ScaleCrop>
  <HeadingPairs>
    <vt:vector size="2" baseType="variant">
      <vt:variant>
        <vt:lpstr>Title</vt:lpstr>
      </vt:variant>
      <vt:variant>
        <vt:i4>1</vt:i4>
      </vt:variant>
    </vt:vector>
  </HeadingPairs>
  <TitlesOfParts>
    <vt:vector size="1" baseType="lpstr">
      <vt:lpstr>JOUR_AAT_CSU</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JOUR_AAT_UC</dc:title>
  <dc:subject/>
  <dc:creator>Rhonda Nishimoto</dc:creator>
  <cp:keywords/>
  <dc:description/>
  <cp:lastModifiedBy>Rhonda Nishimoto</cp:lastModifiedBy>
  <cp:revision>3</cp:revision>
  <dcterms:created xsi:type="dcterms:W3CDTF">2021-03-01T19:00:00Z</dcterms:created>
  <dcterms:modified xsi:type="dcterms:W3CDTF">2021-07-20T17:00:00Z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