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761132" w:rsidP="002F4121" w:rsidRDefault="00761132" w14:paraId="02B4D4BF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761132" w:rsidP="00761132" w:rsidRDefault="00761132" w14:paraId="6E524819" w14:textId="2BE1876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CB6B1F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:rsidRPr="00D83B2B" w:rsidR="00D83B2B" w:rsidP="00761132" w:rsidRDefault="00761132" w14:paraId="788B100A" w14:textId="65A4E76F">
      <w:pPr>
        <w:spacing w:line="216" w:lineRule="auto"/>
        <w:rPr>
          <w:rFonts w:cstheme="minorHAnsi"/>
        </w:rPr>
      </w:pPr>
      <w:r w:rsidRPr="33AA0F85" w:rsidR="00761132">
        <w:rPr>
          <w:rFonts w:cs="Calibri" w:cstheme="minorAscii"/>
        </w:rPr>
        <w:t>T</w:t>
      </w:r>
      <w:r w:rsidRPr="33AA0F85" w:rsidR="00761132">
        <w:rPr>
          <w:rFonts w:cs="Calibri" w:cstheme="minorAscii"/>
        </w:rPr>
        <w:t>he major in Political Science aims to provide a foundational understanding of political processes and institutions. The study of political science is of value to ensure that all persons have knowledge of the political systems that govern their lives.</w:t>
      </w:r>
      <w:r w:rsidRPr="33AA0F85" w:rsidR="00761132">
        <w:rPr>
          <w:rFonts w:cs="Calibri" w:cstheme="minorAscii"/>
        </w:rPr>
        <w:t xml:space="preserve"> </w:t>
      </w:r>
      <w:r w:rsidRPr="33AA0F85" w:rsidR="00761132">
        <w:rPr>
          <w:rFonts w:cs="Calibri" w:cstheme="minorAscii"/>
        </w:rPr>
        <w:t>A political science degree prepares students for possible career opportunities in a variety of areas including law, government service, education, journalism, and business.</w:t>
      </w:r>
      <w:r w:rsidRPr="33AA0F85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55DFE297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33AA0F85" w:rsidR="1258693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33AA0F85" w:rsidR="12586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33AA0F85" w:rsidR="12586939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fde76aa113eb4344">
        <w:r w:rsidRPr="33AA0F85" w:rsidR="1258693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33AA0F85" w:rsidR="12586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33AA0F85" w:rsidR="12586939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761132" w:rsidR="00761132" w:rsidP="00761132" w:rsidRDefault="00761132" w14:paraId="22173C1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>Political Science, A.A.-T CSU, CSUSM, UC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2B1ADB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CB6B1F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33AA0F85" w:rsidRDefault="008E1CE1" w14:paraId="4BBD8445" w14:textId="78D0B4BB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3AA0F85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33AA0F85" w:rsidR="00761132">
        <w:rPr>
          <w:rFonts w:ascii="Calibri" w:hAnsi="Calibri" w:cs="Calibri" w:asciiTheme="minorAscii" w:hAnsiTheme="minorAscii" w:cstheme="minorAscii"/>
          <w:sz w:val="20"/>
          <w:szCs w:val="20"/>
        </w:rPr>
        <w:t>60</w:t>
      </w:r>
    </w:p>
    <w:p w:rsidRPr="009C5953" w:rsidR="00BB5431" w:rsidP="33AA0F85" w:rsidRDefault="0067051E" w14:paraId="64E88867" w14:textId="7849E8FC">
      <w:pPr>
        <w:spacing w:before="120"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33AA0F8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33AA0F85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33AA0F8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33AA0F85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3AA0F85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2b9d5535e9264771">
        <w:r w:rsidRPr="33AA0F85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33AA0F85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2F4121" w:rsidRDefault="009D0498" w14:paraId="1FF0D769" w14:textId="66438ECA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15C1273E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B6B1F" w:rsidTr="15C1273E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3D6B958D" w14:textId="6113C9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635529C6" w14:textId="5210896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55306BD1" w14:textId="52368E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:rsidTr="15C1273E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2E3C658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 or</w:t>
            </w:r>
          </w:p>
          <w:p w:rsidRPr="00CB6B1F" w:rsidR="00CB6B1F" w:rsidP="00CB6B1F" w:rsidRDefault="00CB6B1F" w14:paraId="3E149C49" w14:textId="5E0FC8C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2FA6E70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:rsidRPr="00CB6B1F" w:rsidR="00CB6B1F" w:rsidP="00CB6B1F" w:rsidRDefault="00CB6B1F" w14:paraId="37BC83B3" w14:textId="30FAE0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56152D89" w14:textId="707850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15C1273E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22C1A284" w14:textId="01AF7EF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ART-100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798454FA" w14:textId="2C024A9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Art Appreciation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64BCEF68" w14:textId="136BAEB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15C1273E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15C1273E" w:rsidRDefault="00CB6B1F" w14:paraId="20B8434A" w14:textId="1DB9DB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5C1273E" w:rsidR="00CB6B1F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PS</w:t>
            </w:r>
            <w:r w:rsidRPr="15C1273E" w:rsidR="31C36CC0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15C1273E" w:rsidRDefault="00CB6B1F" w14:paraId="57FA4267" w14:textId="64F35019">
            <w:pPr>
              <w:pStyle w:val="TableParagraph"/>
              <w:widowControl w:val="0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5C1273E" w:rsidR="31C36C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36D23F10" w14:textId="6AD120C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15C1273E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CB6B1F" w:rsidP="00CB6B1F" w:rsidRDefault="00CB6B1F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7B889088" w14:textId="4CADD3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411DA8EB" w14:textId="25E2CB5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29E60E6C" w14:textId="6F5B7EC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2F4121" w:rsidRDefault="00F003A4" w14:paraId="0C0802D9" w14:textId="60151D6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B6B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26C7DB7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CB6B1F" w:rsidTr="526C7DB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76FDD812" w14:textId="2B76308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03571DB6" w14:textId="2DE310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401B7A34" w14:textId="6205187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526C7DB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526C7DB7" w:rsidRDefault="00CB6B1F" w14:paraId="66A271EF" w14:textId="55267B9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C7DB7" w:rsidR="05DC85A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PS-120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526C7DB7" w:rsidRDefault="00CB6B1F" w14:paraId="00F9BB57" w14:textId="495403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C7DB7" w:rsidR="1C85DCD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California Government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0794A019" w14:textId="61F805A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526C7DB7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78E930D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CB6B1F" w:rsidR="00CB6B1F" w:rsidP="00CB6B1F" w:rsidRDefault="00CB6B1F" w14:paraId="65DB1BD4" w14:textId="2502C4A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12BCDE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:rsidRPr="00CB6B1F" w:rsidR="00CB6B1F" w:rsidP="00CB6B1F" w:rsidRDefault="00CB6B1F" w14:paraId="21C771E7" w14:textId="72AB71B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7B69753E" w14:textId="67EBE6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526C7DB7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CB6B1F" w:rsidP="00CB6B1F" w:rsidRDefault="00CB6B1F" w14:paraId="50FF56E5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SPAN-101 or FREN-101 </w:t>
            </w: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:rsidRPr="00CB6B1F" w:rsidR="00CB6B1F" w:rsidP="00CB6B1F" w:rsidRDefault="00CB6B1F" w14:paraId="0828694A" w14:textId="49C97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2AE9A1E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:rsidRPr="00CB6B1F" w:rsidR="00CB6B1F" w:rsidP="00CB6B1F" w:rsidRDefault="00CB6B1F" w14:paraId="5FF6253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:rsidRPr="00CB6B1F" w:rsidR="00CB6B1F" w:rsidP="00CB6B1F" w:rsidRDefault="00CB6B1F" w14:paraId="115C0398" w14:textId="00FD9AB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12028B2E" w14:textId="41407B3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:rsidTr="526C7DB7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CB6B1F" w:rsidP="00CB6B1F" w:rsidRDefault="00CB6B1F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00D3E271" w14:textId="457621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5BA2ADEA" w14:textId="14787C1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0AF6D1F0" w14:textId="4555F97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CB6B1F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2F4121" w:rsidR="002F4121" w:rsidP="002F4121" w:rsidRDefault="002F4121" w14:paraId="5B8F0949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:rsidRPr="002F4121" w:rsidR="002F4121" w:rsidP="002F4121" w:rsidRDefault="002F4121" w14:paraId="19640B77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:rsidRPr="002F4121" w:rsidR="002F4121" w:rsidP="002F4121" w:rsidRDefault="002F4121" w14:paraId="2E1894D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:rsidRPr="00945659" w:rsidR="0067051E" w:rsidP="002F4121" w:rsidRDefault="002F4121" w14:paraId="15D39E8F" w14:textId="001205C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33AA0F85" w:rsidRDefault="00AC4A21" w14:paraId="46C25BDD" w14:textId="4C22F0A3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33AA0F85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33AA0F85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AA0F85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33AA0F85" w:rsidR="00CB6B1F">
        <w:rPr>
          <w:b w:val="1"/>
          <w:bCs w:val="1"/>
          <w:i w:val="1"/>
          <w:iCs w:val="1"/>
          <w:sz w:val="24"/>
          <w:szCs w:val="24"/>
        </w:rPr>
        <w:t>5</w:t>
      </w:r>
      <w:r w:rsidRPr="33AA0F85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526C7DB7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B6B1F" w:rsidTr="526C7DB7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7D5599BC" w14:textId="0BD1731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ECON-202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57F7AEC4" w14:textId="61AA5F5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53F87D94" w14:textId="000B091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526C7DB7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526C7DB7" w:rsidRDefault="00CB6B1F" w14:paraId="1AADC63B" w14:textId="0222F53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C7DB7" w:rsidR="6AE6BE2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526C7DB7" w:rsidRDefault="00CB6B1F" w14:paraId="179A7923" w14:textId="167D8FA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C7DB7" w:rsidR="6AE6BE2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Comparative Politics and Government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1C25F3EE" w14:textId="1B8493E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526C7DB7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09994A1B" w14:textId="17BA5E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58BCA94D" w14:textId="2FEC974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58B7D15A" w14:textId="4E0CEC5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526C7DB7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B6B1F" w:rsidP="00CB6B1F" w:rsidRDefault="00CB6B1F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62125EC7" w14:textId="2CD021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75CAD893" w14:textId="54D8F27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01E368E8" w14:textId="41AEF3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:rsidTr="526C7DB7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CB6B1F" w:rsidR="00CB6B1F" w:rsidP="00CB6B1F" w:rsidRDefault="00CB6B1F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CB6B1F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B6B1F" w:rsidR="00CB6B1F" w:rsidP="00CB6B1F" w:rsidRDefault="00CB6B1F" w14:paraId="24BDFB2F" w14:textId="2C6AAE8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B6B1F" w:rsidR="00CB6B1F" w:rsidP="00CB6B1F" w:rsidRDefault="00CB6B1F" w14:paraId="275A0CDF" w14:textId="41C85C8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B6B1F" w:rsidR="00CB6B1F" w:rsidP="00CB6B1F" w:rsidRDefault="00CB6B1F" w14:paraId="44AC95D6" w14:textId="4018041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3FB368A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23E24408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741BEE" w:rsidTr="23E24408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41BEE" w:rsidP="00741BEE" w:rsidRDefault="00741BEE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41BEE" w:rsidR="00741BEE" w:rsidP="23E24408" w:rsidRDefault="00741BEE" w14:paraId="39141659" w14:textId="6E537E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3E24408" w:rsidR="446585B9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ETHS-103/</w:t>
            </w:r>
            <w:r w:rsidRPr="23E24408" w:rsidR="00741BEE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PS-103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41BEE" w:rsidR="00741BEE" w:rsidP="00741BEE" w:rsidRDefault="00741BEE" w14:paraId="52AA2F38" w14:textId="3314610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41BEE" w:rsidR="00741BEE" w:rsidP="00741BEE" w:rsidRDefault="00741BEE" w14:paraId="65E25DD8" w14:textId="07E0162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:rsidTr="23E24408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41BEE" w:rsidP="00741BEE" w:rsidRDefault="00741BEE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41BEE" w:rsidR="00741BEE" w:rsidP="00741BEE" w:rsidRDefault="00741BEE" w14:paraId="6E237BC8" w14:textId="2192320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41BEE" w:rsidR="00741BEE" w:rsidP="00741BEE" w:rsidRDefault="00741BEE" w14:paraId="6250AC6D" w14:textId="3148AE0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41BEE" w:rsidR="00741BEE" w:rsidP="00741BEE" w:rsidRDefault="00741BEE" w14:paraId="4BF3CCB4" w14:textId="31FFB1A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:rsidTr="23E24408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41BEE" w:rsidP="00741BEE" w:rsidRDefault="00741BEE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41BEE" w:rsidR="00741BEE" w:rsidP="00741BEE" w:rsidRDefault="00741BEE" w14:paraId="758A2ED0" w14:textId="23B8B75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41BEE" w:rsidR="00741BEE" w:rsidP="3FB62E42" w:rsidRDefault="00741BEE" w14:paraId="5132DCF8" w14:textId="61F4189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3FB62E42" w:rsidR="2851598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Biologica</w:t>
            </w:r>
            <w:r w:rsidRPr="3FB62E42" w:rsidR="00741BE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l 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41BEE" w:rsidR="00741BEE" w:rsidP="00741BEE" w:rsidRDefault="00741BEE" w14:paraId="2753F63B" w14:textId="7B1D67C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741BEE" w:rsidTr="23E24408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2F4121" w:rsidR="00741BEE" w:rsidP="00741BEE" w:rsidRDefault="00741BEE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41BEE" w:rsidR="00741BEE" w:rsidP="00741BEE" w:rsidRDefault="00741BEE" w14:paraId="394AF44D" w14:textId="1F960C8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41BEE" w:rsidR="00741BEE" w:rsidP="3FB62E42" w:rsidRDefault="00741BEE" w14:paraId="0B8B04D1" w14:textId="5826B7C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3FB62E42" w:rsidR="5295579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Biologic</w:t>
            </w:r>
            <w:r w:rsidRPr="3FB62E42" w:rsidR="00741BE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41BEE" w:rsidR="00741BEE" w:rsidP="00741BEE" w:rsidRDefault="00741BEE" w14:paraId="6F448D68" w14:textId="525E378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:rsidTr="23E24408" w14:paraId="524E7AE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  <w:tcMar/>
          </w:tcPr>
          <w:p w:rsidRPr="002F4121" w:rsidR="00741BEE" w:rsidP="00741BEE" w:rsidRDefault="00741BEE" w14:paraId="35F5B2E7" w14:textId="78830A9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FFFFF" w:themeFill="background1"/>
            <w:tcMar/>
          </w:tcPr>
          <w:p w:rsidRPr="00741BEE" w:rsidR="00741BEE" w:rsidP="00741BEE" w:rsidRDefault="00741BEE" w14:paraId="2DDD2428" w14:textId="0385F9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FFFFF" w:themeFill="background1"/>
            <w:tcMar/>
          </w:tcPr>
          <w:p w:rsidRPr="00741BEE" w:rsidR="00741BEE" w:rsidP="00741BEE" w:rsidRDefault="00741BEE" w14:paraId="17C0DD03" w14:textId="25D278C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FFFFF" w:themeFill="background1"/>
            <w:tcMar/>
          </w:tcPr>
          <w:p w:rsidRPr="00741BEE" w:rsidR="00741BEE" w:rsidP="00741BEE" w:rsidRDefault="00741BEE" w14:paraId="5CEB84B2" w14:textId="13D06A3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72641A" w14:paraId="62AD77F4" w14:textId="30DEB2AC">
      <w:pPr>
        <w:ind w:left="360"/>
        <w:rPr>
          <w:sz w:val="18"/>
          <w:szCs w:val="18"/>
        </w:rPr>
      </w:pPr>
      <w:r w:rsidRPr="1CCA645F" w:rsidR="0072641A">
        <w:rPr>
          <w:rStyle w:val="Hyperlink"/>
          <w:b w:val="1"/>
          <w:bCs w:val="1"/>
          <w:color w:val="auto"/>
          <w:sz w:val="18"/>
          <w:szCs w:val="18"/>
          <w:u w:val="none"/>
        </w:rPr>
        <w:t>Language Requirement</w:t>
      </w:r>
      <w:r w:rsidRPr="1CCA645F" w:rsidR="0072641A">
        <w:rPr>
          <w:rStyle w:val="Hyperlink"/>
          <w:color w:val="auto"/>
          <w:sz w:val="18"/>
          <w:szCs w:val="18"/>
          <w:u w:val="none"/>
        </w:rPr>
        <w:t xml:space="preserve">: </w:t>
      </w:r>
      <w:r w:rsidRPr="1CCA645F" w:rsidR="0024281C">
        <w:rPr>
          <w:rFonts w:cs="Calibri" w:cstheme="minorAscii"/>
          <w:sz w:val="18"/>
          <w:szCs w:val="18"/>
        </w:rPr>
        <w:t xml:space="preserve"> </w:t>
      </w:r>
      <w:r w:rsidRPr="1CCA645F" w:rsidR="0024281C">
        <w:rPr>
          <w:rFonts w:cs="Calibri" w:cstheme="minorAscii"/>
          <w:sz w:val="18"/>
          <w:szCs w:val="18"/>
        </w:rPr>
        <w:t>For students who did not meet the LOTE requirement in high school, they may fulfill Area 6 by demonstrating proficiency by completing ASL-100 American Sign Language I, FREN-101 Elementary French I or SPAN-101 Elementary Spanish I with a grade C or better. Languages other than English for Native Speakers are also acceptable for meeting this requirement</w:t>
      </w:r>
      <w:r w:rsidRPr="1CCA645F" w:rsidR="0024281C">
        <w:rPr>
          <w:rStyle w:val="Hyperlink"/>
          <w:rFonts w:cs="Calibri" w:cstheme="minorAscii"/>
          <w:color w:val="auto"/>
          <w:sz w:val="18"/>
          <w:szCs w:val="18"/>
          <w:u w:val="none"/>
        </w:rPr>
        <w:t>.</w:t>
      </w:r>
    </w:p>
    <w:p w:rsidR="534FFF91" w:rsidP="1CCA645F" w:rsidRDefault="534FFF91" w14:paraId="5925F9A1" w14:textId="74741E20">
      <w:pPr>
        <w:pStyle w:val="Normal"/>
        <w:ind w:left="360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1CCA645F" w:rsidR="534FF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2F4121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w:history="1" r:id="rId24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Pr="002F4121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DB1" w:rsidP="00DF2F19" w:rsidRDefault="00F72DB1" w14:paraId="13D753E5" w14:textId="77777777">
      <w:pPr>
        <w:spacing w:after="0" w:line="240" w:lineRule="auto"/>
      </w:pPr>
      <w:r>
        <w:separator/>
      </w:r>
    </w:p>
  </w:endnote>
  <w:endnote w:type="continuationSeparator" w:id="0">
    <w:p w:rsidR="00F72DB1" w:rsidP="00DF2F19" w:rsidRDefault="00F72DB1" w14:paraId="6FF067DE" w14:textId="77777777">
      <w:pPr>
        <w:spacing w:after="0" w:line="240" w:lineRule="auto"/>
      </w:pPr>
      <w:r>
        <w:continuationSeparator/>
      </w:r>
    </w:p>
  </w:endnote>
  <w:endnote w:type="continuationNotice" w:id="1">
    <w:p w:rsidR="00F72DB1" w:rsidRDefault="00F72DB1" w14:paraId="0F704C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FBD" w:rsidRDefault="00D83FBD" w14:paraId="04AAD1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DB1" w:rsidP="00DF2F19" w:rsidRDefault="00F72DB1" w14:paraId="1897D7C1" w14:textId="77777777">
      <w:pPr>
        <w:spacing w:after="0" w:line="240" w:lineRule="auto"/>
      </w:pPr>
      <w:r>
        <w:separator/>
      </w:r>
    </w:p>
  </w:footnote>
  <w:footnote w:type="continuationSeparator" w:id="0">
    <w:p w:rsidR="00F72DB1" w:rsidP="00DF2F19" w:rsidRDefault="00F72DB1" w14:paraId="78CC24A7" w14:textId="77777777">
      <w:pPr>
        <w:spacing w:after="0" w:line="240" w:lineRule="auto"/>
      </w:pPr>
      <w:r>
        <w:continuationSeparator/>
      </w:r>
    </w:p>
  </w:footnote>
  <w:footnote w:type="continuationNotice" w:id="1">
    <w:p w:rsidR="00F72DB1" w:rsidRDefault="00F72DB1" w14:paraId="084B88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FBD" w:rsidRDefault="00D83FBD" w14:paraId="2B689E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FBD" w:rsidRDefault="00D83FBD" w14:paraId="3E6E76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5E8B3714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6B76049" w:rsidR="66B76049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6B76049" w:rsidR="66B76049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6B76049" w:rsidR="66B76049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6B76049" w:rsidR="66B76049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2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013D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68D"/>
    <w:rsid w:val="0072641A"/>
    <w:rsid w:val="0073353B"/>
    <w:rsid w:val="007370F9"/>
    <w:rsid w:val="00741BEE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0413"/>
    <w:rsid w:val="00C15613"/>
    <w:rsid w:val="00C175D3"/>
    <w:rsid w:val="00C46AC1"/>
    <w:rsid w:val="00C9219D"/>
    <w:rsid w:val="00CA208C"/>
    <w:rsid w:val="00CA63F5"/>
    <w:rsid w:val="00CA78F7"/>
    <w:rsid w:val="00CB6B1F"/>
    <w:rsid w:val="00CD74E2"/>
    <w:rsid w:val="00CE262D"/>
    <w:rsid w:val="00D019E2"/>
    <w:rsid w:val="00D11CBC"/>
    <w:rsid w:val="00D218E3"/>
    <w:rsid w:val="00D46B6D"/>
    <w:rsid w:val="00D50659"/>
    <w:rsid w:val="00D83B2B"/>
    <w:rsid w:val="00D83FBD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9EA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2DB1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5DC85A2"/>
    <w:rsid w:val="12586939"/>
    <w:rsid w:val="151114A3"/>
    <w:rsid w:val="15C1273E"/>
    <w:rsid w:val="1C85DCD6"/>
    <w:rsid w:val="1CCA645F"/>
    <w:rsid w:val="23E24408"/>
    <w:rsid w:val="253D6A23"/>
    <w:rsid w:val="28515988"/>
    <w:rsid w:val="31C36CC0"/>
    <w:rsid w:val="33AA0F85"/>
    <w:rsid w:val="3FB62E42"/>
    <w:rsid w:val="446585B9"/>
    <w:rsid w:val="526C7DB7"/>
    <w:rsid w:val="5295579A"/>
    <w:rsid w:val="534FFF91"/>
    <w:rsid w:val="66B76049"/>
    <w:rsid w:val="6AE6B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fde76aa113eb4344" /><Relationship Type="http://schemas.openxmlformats.org/officeDocument/2006/relationships/hyperlink" Target="https://catalog.msjc.edu/instructional-programs/" TargetMode="External" Id="R2b9d5535e926477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POL_AAT_UC</dc:title>
  <dc:subject/>
  <dc:creator>Rhonda Nishimoto</dc:creator>
  <keywords/>
  <dc:description/>
  <lastModifiedBy>Meghan Basgall</lastModifiedBy>
  <revision>10</revision>
  <dcterms:created xsi:type="dcterms:W3CDTF">2021-02-23T18:44:00.0000000Z</dcterms:created>
  <dcterms:modified xsi:type="dcterms:W3CDTF">2023-07-10T18:36:49.3203991Z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